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85" w:line="240" w:lineRule="auto"/>
        <w:ind w:left="720" w:right="0" w:firstLine="0"/>
        <w:jc w:val="left"/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</w:pPr>
      <w:r>
        <w:rPr>
          <w:outline w:val="0"/>
          <w:color w:val="1c828f"/>
          <w:sz w:val="38"/>
          <w:szCs w:val="38"/>
          <w:shd w:val="clear" w:color="auto" w:fill="ffffff"/>
          <w:rtl w:val="0"/>
          <w:lang w:val="en-US"/>
          <w14:textFill>
            <w14:solidFill>
              <w14:srgbClr w14:val="1C828F"/>
            </w14:solidFill>
          </w14:textFill>
        </w:rPr>
        <w:t>Anchor Charts</w:t>
      </w:r>
    </w:p>
    <w:p>
      <w:pPr>
        <w:pStyle w:val="Default"/>
        <w:numPr>
          <w:ilvl w:val="0"/>
          <w:numId w:val="2"/>
        </w:numPr>
        <w:bidi w:val="0"/>
        <w:spacing w:before="0" w:after="285" w:line="240" w:lineRule="auto"/>
        <w:ind w:right="0"/>
        <w:jc w:val="left"/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</w:pP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begin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instrText xml:space="preserve"> HYPERLINK "https://www.weareteachers.com/classroom-technology-anchor-charts/"</w:instrText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separate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:lang w:val="en-US"/>
          <w14:textFill>
            <w14:solidFill>
              <w14:srgbClr w14:val="1C828F"/>
            </w14:solidFill>
          </w14:textFill>
        </w:rPr>
        <w:t>20 Anchor Charts To Help Boost Kids</w:t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1"/>
          <w14:textFill>
            <w14:solidFill>
              <w14:srgbClr w14:val="1C828F"/>
            </w14:solidFill>
          </w14:textFill>
        </w:rPr>
        <w:t xml:space="preserve">’ </w:t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:lang w:val="en-US"/>
          <w14:textFill>
            <w14:solidFill>
              <w14:srgbClr w14:val="1C828F"/>
            </w14:solidFill>
          </w14:textFill>
        </w:rPr>
        <w:t>Tech Skills, Virtually or in the Classroom</w:t>
      </w:r>
      <w:r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before="0" w:after="285" w:line="240" w:lineRule="auto"/>
        <w:ind w:right="0"/>
        <w:jc w:val="left"/>
        <w:rPr>
          <w:outline w:val="0"/>
          <w:color w:val="1c828f"/>
          <w:sz w:val="38"/>
          <w:szCs w:val="38"/>
          <w:u w:val="single"/>
          <w:shd w:val="clear" w:color="auto" w:fill="ffffff"/>
          <w:rtl w:val="0"/>
          <w14:textFill>
            <w14:solidFill>
              <w14:srgbClr w14:val="1C828F"/>
            </w14:solidFill>
          </w14:textFill>
        </w:rPr>
      </w:pPr>
      <w:r>
        <w:rPr>
          <w:rStyle w:val="Hyperlink.0"/>
          <w:outline w:val="0"/>
          <w:color w:val="1c828f"/>
          <w:sz w:val="38"/>
          <w:szCs w:val="38"/>
          <w:u w:val="single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begin" w:fldLock="0"/>
      </w:r>
      <w:r>
        <w:rPr>
          <w:rStyle w:val="Hyperlink.0"/>
          <w:outline w:val="0"/>
          <w:color w:val="1c828f"/>
          <w:sz w:val="38"/>
          <w:szCs w:val="38"/>
          <w:u w:val="single"/>
          <w:shd w:val="clear" w:color="auto" w:fill="ffffff"/>
          <w:rtl w:val="0"/>
          <w14:textFill>
            <w14:solidFill>
              <w14:srgbClr w14:val="1C828F"/>
            </w14:solidFill>
          </w14:textFill>
        </w:rPr>
        <w:instrText xml:space="preserve"> HYPERLINK "https://www.weareteachers.com/main-idea-anchor-charts/"</w:instrText>
      </w:r>
      <w:r>
        <w:rPr>
          <w:rStyle w:val="Hyperlink.0"/>
          <w:outline w:val="0"/>
          <w:color w:val="1c828f"/>
          <w:sz w:val="38"/>
          <w:szCs w:val="38"/>
          <w:u w:val="single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separate" w:fldLock="0"/>
      </w:r>
      <w:r>
        <w:rPr>
          <w:rStyle w:val="Hyperlink.0"/>
          <w:outline w:val="0"/>
          <w:color w:val="1c828f"/>
          <w:sz w:val="38"/>
          <w:szCs w:val="38"/>
          <w:u w:val="single"/>
          <w:shd w:val="clear" w:color="auto" w:fill="ffffff"/>
          <w:rtl w:val="0"/>
          <w:lang w:val="en-US"/>
          <w14:textFill>
            <w14:solidFill>
              <w14:srgbClr w14:val="1C828F"/>
            </w14:solidFill>
          </w14:textFill>
        </w:rPr>
        <w:t>15 Anchor Charts To Teach Main Idea</w:t>
      </w:r>
      <w:r>
        <w:rPr>
          <w:outline w:val="0"/>
          <w:color w:val="1c828f"/>
          <w:sz w:val="38"/>
          <w:szCs w:val="38"/>
          <w:u w:val="single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before="0" w:after="285" w:line="240" w:lineRule="auto"/>
        <w:ind w:right="0"/>
        <w:jc w:val="left"/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</w:pP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begin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instrText xml:space="preserve"> HYPERLINK "https://www.weareteachers.com/character-traits-anchor-charts/"</w:instrText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separate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:lang w:val="en-US"/>
          <w14:textFill>
            <w14:solidFill>
              <w14:srgbClr w14:val="1C828F"/>
            </w14:solidFill>
          </w14:textFill>
        </w:rPr>
        <w:t>12 Character Traits Charts for Elementary and Middle School ELA Classes</w:t>
      </w:r>
      <w:r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before="0" w:after="285" w:line="240" w:lineRule="auto"/>
        <w:ind w:right="0"/>
        <w:jc w:val="left"/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</w:pP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begin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instrText xml:space="preserve"> HYPERLINK "https://www.weareteachers.com/fraction-anchor-charts/"</w:instrText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separate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:lang w:val="en-US"/>
          <w14:textFill>
            <w14:solidFill>
              <w14:srgbClr w14:val="1C828F"/>
            </w14:solidFill>
          </w14:textFill>
        </w:rPr>
        <w:t>18 Fraction Anchor Charts for Your Classroom</w:t>
      </w:r>
      <w:r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before="0" w:after="285" w:line="240" w:lineRule="auto"/>
        <w:ind w:right="0"/>
        <w:jc w:val="left"/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</w:pP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begin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instrText xml:space="preserve"> HYPERLINK "https://www.weareteachers.com/theme-anchor-charts/"</w:instrText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separate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:lang w:val="en-US"/>
          <w14:textFill>
            <w14:solidFill>
              <w14:srgbClr w14:val="1C828F"/>
            </w14:solidFill>
          </w14:textFill>
        </w:rPr>
        <w:t>15 Anchor Charts for Teaching Theme</w:t>
      </w:r>
      <w:r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before="0" w:after="285" w:line="240" w:lineRule="auto"/>
        <w:ind w:right="0"/>
        <w:jc w:val="left"/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</w:pP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begin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instrText xml:space="preserve"> HYPERLINK "https://www.weareteachers.com/anchor-charts-that-teach-reading-comprehension/"</w:instrText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separate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:lang w:val="en-US"/>
          <w14:textFill>
            <w14:solidFill>
              <w14:srgbClr w14:val="1C828F"/>
            </w14:solidFill>
          </w14:textFill>
        </w:rPr>
        <w:t>35 Anchor Charts That Nail Reading Comprehension</w:t>
      </w:r>
      <w:r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before="0" w:after="285" w:line="240" w:lineRule="auto"/>
        <w:ind w:right="0"/>
        <w:jc w:val="left"/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</w:pP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begin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instrText xml:space="preserve"> HYPERLINK "https://www.weareteachers.com/anchor-charts-recycling/"</w:instrText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separate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:lang w:val="en-US"/>
          <w14:textFill>
            <w14:solidFill>
              <w14:srgbClr w14:val="1C828F"/>
            </w14:solidFill>
          </w14:textFill>
        </w:rPr>
        <w:t>15 Fantastic Sustainability and Recycling Anchor Charts</w:t>
      </w:r>
      <w:r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before="0" w:after="285" w:line="240" w:lineRule="auto"/>
        <w:ind w:right="0"/>
        <w:jc w:val="left"/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</w:pP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begin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instrText xml:space="preserve"> HYPERLINK "https://www.weareteachers.com/place-value-anchor-charts/"</w:instrText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separate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:lang w:val="en-US"/>
          <w14:textFill>
            <w14:solidFill>
              <w14:srgbClr w14:val="1C828F"/>
            </w14:solidFill>
          </w14:textFill>
        </w:rPr>
        <w:t>17 Anchor Charts To Teach Place Value</w:t>
      </w:r>
      <w:r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before="0" w:after="285" w:line="240" w:lineRule="auto"/>
        <w:ind w:right="0"/>
        <w:jc w:val="left"/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</w:pP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begin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instrText xml:space="preserve"> HYPERLINK "https://www.weareteachers.com/classroom-management-anchor-charts/"</w:instrText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separate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:lang w:val="en-US"/>
          <w14:textFill>
            <w14:solidFill>
              <w14:srgbClr w14:val="1C828F"/>
            </w14:solidFill>
          </w14:textFill>
        </w:rPr>
        <w:t>19 Classroom Management Anchor Charts</w:t>
      </w:r>
      <w:r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before="0" w:after="285" w:line="240" w:lineRule="auto"/>
        <w:ind w:right="0"/>
        <w:jc w:val="left"/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</w:pP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begin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instrText xml:space="preserve"> HYPERLINK "https://www.weareteachers.com/25-awesome-anchor-charts-for-teaching-writing/"</w:instrText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separate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:lang w:val="en-US"/>
          <w14:textFill>
            <w14:solidFill>
              <w14:srgbClr w14:val="1C828F"/>
            </w14:solidFill>
          </w14:textFill>
        </w:rPr>
        <w:t>40 Must-Have Anchor Charts for Teaching Writing of All Kinds</w:t>
      </w:r>
      <w:r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before="0" w:after="285" w:line="240" w:lineRule="auto"/>
        <w:ind w:right="0"/>
        <w:jc w:val="left"/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</w:pP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begin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instrText xml:space="preserve"> HYPERLINK "https://www.weareteachers.com/fluency-anchor-charts/"</w:instrText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separate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:lang w:val="en-US"/>
          <w14:textFill>
            <w14:solidFill>
              <w14:srgbClr w14:val="1C828F"/>
            </w14:solidFill>
          </w14:textFill>
        </w:rPr>
        <w:t>17 Fabulous Fluency Anchor Charts</w:t>
      </w:r>
      <w:r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before="0" w:after="285" w:line="240" w:lineRule="auto"/>
        <w:ind w:right="0"/>
        <w:jc w:val="left"/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</w:pP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begin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instrText xml:space="preserve"> HYPERLINK "https://www.weareteachers.com/close-reading-anchor-charts/"</w:instrText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separate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:lang w:val="en-US"/>
          <w14:textFill>
            <w14:solidFill>
              <w14:srgbClr w14:val="1C828F"/>
            </w14:solidFill>
          </w14:textFill>
        </w:rPr>
        <w:t>23 Close Reading Anchor Charts That Will Help Your Students Dig Deep</w:t>
      </w:r>
      <w:r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before="0" w:after="285" w:line="240" w:lineRule="auto"/>
        <w:ind w:right="0"/>
        <w:jc w:val="left"/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</w:pP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begin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instrText xml:space="preserve"> HYPERLINK "https://www.weareteachers.com/financial-literacy-anchor-charts/"</w:instrText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separate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:lang w:val="en-US"/>
          <w14:textFill>
            <w14:solidFill>
              <w14:srgbClr w14:val="1C828F"/>
            </w14:solidFill>
          </w14:textFill>
        </w:rPr>
        <w:t>12 Charts to Help Teach Financial Literacy To Your Students</w:t>
      </w:r>
      <w:r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before="0" w:after="285" w:line="240" w:lineRule="auto"/>
        <w:ind w:right="0"/>
        <w:jc w:val="left"/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</w:pP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begin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instrText xml:space="preserve"> HYPERLINK "https://www.weareteachers.com/nonfiction-anchor-charts/"</w:instrText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separate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:lang w:val="en-US"/>
          <w14:textFill>
            <w14:solidFill>
              <w14:srgbClr w14:val="1C828F"/>
            </w14:solidFill>
          </w14:textFill>
        </w:rPr>
        <w:t>Get Your Facts Straight With These 18 Nonfiction Anchor Charts</w:t>
      </w:r>
      <w:r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before="0" w:after="285" w:line="240" w:lineRule="auto"/>
        <w:ind w:right="0"/>
        <w:jc w:val="left"/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</w:pP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begin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instrText xml:space="preserve"> HYPERLINK "https://www.weareteachers.com/20-anchor-charts-to-teach-phonics-and-blends/"</w:instrText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separate" w:fldLock="0"/>
      </w:r>
      <w:r>
        <w:rPr>
          <w:rStyle w:val="Hyperlink.0"/>
          <w:outline w:val="0"/>
          <w:color w:val="1c828f"/>
          <w:sz w:val="38"/>
          <w:szCs w:val="38"/>
          <w:shd w:val="clear" w:color="auto" w:fill="ffffff"/>
          <w:rtl w:val="0"/>
          <w:lang w:val="en-US"/>
          <w14:textFill>
            <w14:solidFill>
              <w14:srgbClr w14:val="1C828F"/>
            </w14:solidFill>
          </w14:textFill>
        </w:rPr>
        <w:t>20 Perfect Anchor Charts To Teach Phonics and Blends</w:t>
      </w:r>
      <w:r>
        <w:rPr>
          <w:outline w:val="0"/>
          <w:color w:val="1c828f"/>
          <w:sz w:val="38"/>
          <w:szCs w:val="38"/>
          <w:shd w:val="clear" w:color="auto" w:fill="ffffff"/>
          <w:rtl w:val="0"/>
          <w14:textFill>
            <w14:solidFill>
              <w14:srgbClr w14:val="1C828F"/>
            </w14:solidFill>
          </w14:textFill>
        </w:rPr>
        <w:fldChar w:fldCharType="end" w:fldLock="0"/>
      </w:r>
      <w:r>
        <w:rPr>
          <w:outline w:val="0"/>
          <w:color w:val="2f303a"/>
          <w:sz w:val="38"/>
          <w:szCs w:val="38"/>
          <w:shd w:val="clear" w:color="auto" w:fill="ffffff"/>
          <w:rtl w:val="0"/>
          <w14:textFill>
            <w14:solidFill>
              <w14:srgbClr w14:val="2F303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▪"/>
      <w:lvlJc w:val="left"/>
      <w:pPr>
        <w:ind w:left="72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828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94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828f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16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828f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138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828f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160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828f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182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828f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204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828f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226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828f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248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828f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